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72" w:rsidRPr="00D80111" w:rsidRDefault="000176F6" w:rsidP="00D80111">
      <w:pPr>
        <w:spacing w:after="200"/>
      </w:pPr>
      <w:bookmarkStart w:id="0" w:name="_GoBack"/>
      <w:bookmarkEnd w:id="0"/>
      <w:r w:rsidRPr="00D80111">
        <w:rPr>
          <w:rFonts w:ascii="Times New Roman" w:hAnsi="Times New Roman" w:cs="Times New Roman"/>
        </w:rPr>
        <w:t>TABLA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9"/>
        <w:gridCol w:w="6970"/>
      </w:tblGrid>
      <w:tr w:rsidR="00A84CA1" w:rsidRPr="00EE3480" w:rsidTr="009E082F">
        <w:tc>
          <w:tcPr>
            <w:tcW w:w="1668" w:type="dxa"/>
            <w:vAlign w:val="center"/>
          </w:tcPr>
          <w:p w:rsidR="00A84CA1" w:rsidRPr="00EE3480" w:rsidRDefault="00A84CA1" w:rsidP="009E082F">
            <w:pPr>
              <w:rPr>
                <w:rFonts w:asciiTheme="majorBidi" w:hAnsiTheme="majorBidi" w:cstheme="majorBidi"/>
                <w:b/>
                <w:lang w:val="es-ES"/>
              </w:rPr>
            </w:pPr>
            <w:r w:rsidRPr="00EE3480">
              <w:rPr>
                <w:rFonts w:asciiTheme="majorBidi" w:hAnsiTheme="majorBidi" w:cstheme="majorBidi"/>
                <w:b/>
                <w:lang w:val="es-ES"/>
              </w:rPr>
              <w:t>Causa del reasentamiento</w:t>
            </w:r>
          </w:p>
        </w:tc>
        <w:tc>
          <w:tcPr>
            <w:tcW w:w="6970" w:type="dxa"/>
            <w:vAlign w:val="center"/>
          </w:tcPr>
          <w:p w:rsidR="00A84CA1" w:rsidRPr="00EE3480" w:rsidRDefault="00A84CA1" w:rsidP="009E082F">
            <w:pPr>
              <w:rPr>
                <w:rFonts w:asciiTheme="majorBidi" w:hAnsiTheme="majorBidi" w:cstheme="majorBidi"/>
                <w:b/>
                <w:lang w:val="es-ES"/>
              </w:rPr>
            </w:pPr>
            <w:r w:rsidRPr="00EE3480">
              <w:rPr>
                <w:rFonts w:asciiTheme="majorBidi" w:hAnsiTheme="majorBidi" w:cstheme="majorBidi"/>
                <w:b/>
                <w:lang w:val="es-ES"/>
              </w:rPr>
              <w:t>Descripción</w:t>
            </w:r>
          </w:p>
        </w:tc>
      </w:tr>
      <w:tr w:rsidR="00A84CA1" w:rsidRPr="00EE3480" w:rsidTr="009E082F">
        <w:tc>
          <w:tcPr>
            <w:tcW w:w="1668" w:type="dxa"/>
            <w:vAlign w:val="center"/>
          </w:tcPr>
          <w:p w:rsidR="00A84CA1" w:rsidRPr="00EE3480" w:rsidRDefault="00A84CA1" w:rsidP="009E082F">
            <w:pPr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Por fenómeno natural o alto riesgo</w:t>
            </w:r>
          </w:p>
        </w:tc>
        <w:tc>
          <w:tcPr>
            <w:tcW w:w="6970" w:type="dxa"/>
          </w:tcPr>
          <w:p w:rsidR="00A84CA1" w:rsidRPr="00EE3480" w:rsidRDefault="00A84CA1" w:rsidP="009E082F">
            <w:pPr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Se contempla para los casos donde el asentamiento se ha establecido en terrenos inundables o inestables donde hay riesgo de deslizamientos o de anegación. De igual manera, si hubo catástrofe por fenómenos naturales como huracanes o sequías y se deben desalojar viviendas.</w:t>
            </w:r>
          </w:p>
        </w:tc>
      </w:tr>
      <w:tr w:rsidR="00A84CA1" w:rsidRPr="00EE3480" w:rsidTr="009E082F">
        <w:tc>
          <w:tcPr>
            <w:tcW w:w="1668" w:type="dxa"/>
            <w:vAlign w:val="center"/>
          </w:tcPr>
          <w:p w:rsidR="00A84CA1" w:rsidRPr="00EE3480" w:rsidRDefault="00A84CA1" w:rsidP="009E082F">
            <w:pPr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Por violencia</w:t>
            </w:r>
          </w:p>
        </w:tc>
        <w:tc>
          <w:tcPr>
            <w:tcW w:w="6970" w:type="dxa"/>
          </w:tcPr>
          <w:p w:rsidR="00A84CA1" w:rsidRPr="00EE3480" w:rsidRDefault="00A84CA1" w:rsidP="009E082F">
            <w:pPr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Como resultado de la ocurrencia de una acción violenta y conflictos armados que ponen en riesgo a la vida de la comunidad o alguno de sus miembros, la población se ve obligada a salir de su lugar de habitación ubicándose generalmente en zonas urbanas, dando lugar a los llamados desplazamientos forzosos o forzados</w:t>
            </w:r>
            <w:r w:rsidRPr="00EE3480">
              <w:rPr>
                <w:rStyle w:val="Refdenotaalpie"/>
                <w:rFonts w:asciiTheme="majorBidi" w:hAnsiTheme="majorBidi" w:cstheme="majorBidi"/>
                <w:lang w:val="es-ES"/>
              </w:rPr>
              <w:footnoteReference w:id="1"/>
            </w:r>
            <w:r w:rsidRPr="00EE3480">
              <w:rPr>
                <w:rFonts w:asciiTheme="majorBidi" w:hAnsiTheme="majorBidi" w:cstheme="majorBidi"/>
              </w:rPr>
              <w:t>.</w:t>
            </w:r>
          </w:p>
        </w:tc>
      </w:tr>
      <w:tr w:rsidR="00A84CA1" w:rsidRPr="00EE3480" w:rsidTr="009E082F">
        <w:tc>
          <w:tcPr>
            <w:tcW w:w="1668" w:type="dxa"/>
            <w:vAlign w:val="center"/>
          </w:tcPr>
          <w:p w:rsidR="00A84CA1" w:rsidRPr="00EE3480" w:rsidRDefault="00A84CA1" w:rsidP="009E082F">
            <w:pPr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Por proyectos de desarrollo</w:t>
            </w:r>
          </w:p>
        </w:tc>
        <w:tc>
          <w:tcPr>
            <w:tcW w:w="6970" w:type="dxa"/>
          </w:tcPr>
          <w:p w:rsidR="00A84CA1" w:rsidRPr="00EE3480" w:rsidRDefault="00A84CA1" w:rsidP="009E082F">
            <w:pPr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Son determinados por la existencia de proyectos que responden a indicadores macroeconómicos con un supuesto beneficio nacional, los cuales requieren importantes cambios en el uso de la tierra y del agua. Entre ellos encontramos: represas (para el riego, la energía hidroeléctrica y el agua potable); rutas de transporte (ferrocarriles, carreteras, aeropuertos, líneas de transmisión, canales de riego); nuevos puertos y centros urbanos; infraestructura civil (sistemas de alcantarillado, caminos de entronque y vías subterráneas); nuevas minas; parques o zonas industriales; protección para las reservas forestales o parques nacionales y, complejos turísticos.</w:t>
            </w:r>
          </w:p>
        </w:tc>
      </w:tr>
    </w:tbl>
    <w:p w:rsidR="000176F6" w:rsidRDefault="000176F6"/>
    <w:p w:rsidR="00BA3037" w:rsidRPr="00D80111" w:rsidRDefault="00BA3037" w:rsidP="00D80111">
      <w:pPr>
        <w:spacing w:after="200" w:line="240" w:lineRule="auto"/>
        <w:rPr>
          <w:rFonts w:asciiTheme="majorBidi" w:hAnsiTheme="majorBidi" w:cstheme="majorBidi"/>
          <w:lang w:val="es-ES"/>
        </w:rPr>
      </w:pPr>
      <w:r w:rsidRPr="00D80111">
        <w:rPr>
          <w:rFonts w:asciiTheme="majorBidi" w:hAnsiTheme="majorBidi" w:cstheme="majorBidi"/>
          <w:color w:val="000000" w:themeColor="text1"/>
        </w:rPr>
        <w:t xml:space="preserve">TABLA </w:t>
      </w:r>
      <w:r w:rsidRPr="00D80111">
        <w:rPr>
          <w:rFonts w:asciiTheme="majorBidi" w:hAnsiTheme="majorBidi" w:cstheme="majorBidi"/>
          <w:color w:val="000000" w:themeColor="text1"/>
        </w:rPr>
        <w:fldChar w:fldCharType="begin"/>
      </w:r>
      <w:r w:rsidRPr="00D80111">
        <w:rPr>
          <w:rFonts w:asciiTheme="majorBidi" w:hAnsiTheme="majorBidi" w:cstheme="majorBidi"/>
          <w:color w:val="000000" w:themeColor="text1"/>
        </w:rPr>
        <w:instrText xml:space="preserve"> SEQ Tabla \* ARABIC </w:instrText>
      </w:r>
      <w:r w:rsidRPr="00D80111">
        <w:rPr>
          <w:rFonts w:asciiTheme="majorBidi" w:hAnsiTheme="majorBidi" w:cstheme="majorBidi"/>
          <w:color w:val="000000" w:themeColor="text1"/>
        </w:rPr>
        <w:fldChar w:fldCharType="separate"/>
      </w:r>
      <w:r w:rsidRPr="00D80111">
        <w:rPr>
          <w:rFonts w:asciiTheme="majorBidi" w:hAnsiTheme="majorBidi" w:cstheme="majorBidi"/>
          <w:noProof/>
          <w:color w:val="000000" w:themeColor="text1"/>
        </w:rPr>
        <w:t>2</w:t>
      </w:r>
      <w:r w:rsidRPr="00D80111">
        <w:rPr>
          <w:rFonts w:asciiTheme="majorBidi" w:hAnsiTheme="majorBidi" w:cstheme="majorBidi"/>
          <w:color w:val="000000" w:themeColor="text1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0"/>
        <w:gridCol w:w="4361"/>
        <w:gridCol w:w="3134"/>
      </w:tblGrid>
      <w:tr w:rsidR="00BA3037" w:rsidRPr="00EE3480" w:rsidTr="00BA3037">
        <w:tc>
          <w:tcPr>
            <w:tcW w:w="1219" w:type="dxa"/>
            <w:vAlign w:val="center"/>
          </w:tcPr>
          <w:p w:rsidR="00BA3037" w:rsidRPr="00EE3480" w:rsidRDefault="00BA3037" w:rsidP="00BA3037">
            <w:pPr>
              <w:jc w:val="center"/>
              <w:rPr>
                <w:rFonts w:asciiTheme="majorBidi" w:hAnsiTheme="majorBidi" w:cstheme="majorBidi"/>
                <w:b/>
                <w:lang w:val="es-ES"/>
              </w:rPr>
            </w:pPr>
            <w:r w:rsidRPr="00EE3480">
              <w:rPr>
                <w:rFonts w:asciiTheme="majorBidi" w:hAnsiTheme="majorBidi" w:cstheme="majorBidi"/>
                <w:b/>
                <w:lang w:val="es-ES"/>
              </w:rPr>
              <w:t>Dimensión</w:t>
            </w:r>
          </w:p>
        </w:tc>
        <w:tc>
          <w:tcPr>
            <w:tcW w:w="4361" w:type="dxa"/>
            <w:vAlign w:val="center"/>
          </w:tcPr>
          <w:p w:rsidR="00BA3037" w:rsidRPr="00EE3480" w:rsidRDefault="00BA3037" w:rsidP="00BA3037">
            <w:pPr>
              <w:jc w:val="center"/>
              <w:rPr>
                <w:rFonts w:asciiTheme="majorBidi" w:hAnsiTheme="majorBidi" w:cstheme="majorBidi"/>
                <w:b/>
                <w:lang w:val="es-ES"/>
              </w:rPr>
            </w:pPr>
            <w:r w:rsidRPr="00EE3480">
              <w:rPr>
                <w:rFonts w:asciiTheme="majorBidi" w:hAnsiTheme="majorBidi" w:cstheme="majorBidi"/>
                <w:b/>
                <w:lang w:val="es-ES"/>
              </w:rPr>
              <w:t>Impactos</w:t>
            </w:r>
          </w:p>
        </w:tc>
        <w:tc>
          <w:tcPr>
            <w:tcW w:w="3134" w:type="dxa"/>
            <w:vAlign w:val="center"/>
          </w:tcPr>
          <w:p w:rsidR="00BA3037" w:rsidRPr="00EE3480" w:rsidRDefault="00BA3037" w:rsidP="00BA3037">
            <w:pPr>
              <w:jc w:val="center"/>
              <w:rPr>
                <w:rFonts w:asciiTheme="majorBidi" w:hAnsiTheme="majorBidi" w:cstheme="majorBidi"/>
                <w:b/>
                <w:lang w:val="es-ES"/>
              </w:rPr>
            </w:pPr>
            <w:r w:rsidRPr="00EE3480">
              <w:rPr>
                <w:rFonts w:asciiTheme="majorBidi" w:hAnsiTheme="majorBidi" w:cstheme="majorBidi"/>
                <w:b/>
                <w:lang w:val="es-ES"/>
              </w:rPr>
              <w:t>Consecuencias</w:t>
            </w:r>
          </w:p>
        </w:tc>
      </w:tr>
      <w:tr w:rsidR="00BA3037" w:rsidRPr="00EE3480" w:rsidTr="009E082F">
        <w:tc>
          <w:tcPr>
            <w:tcW w:w="1219" w:type="dxa"/>
          </w:tcPr>
          <w:p w:rsidR="00BA3037" w:rsidRPr="00EE3480" w:rsidRDefault="00BA3037" w:rsidP="009E082F">
            <w:pPr>
              <w:jc w:val="center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Social</w:t>
            </w:r>
          </w:p>
        </w:tc>
        <w:tc>
          <w:tcPr>
            <w:tcW w:w="4361" w:type="dxa"/>
          </w:tcPr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Se dispersan los grupos de parentesco y los sistemas familiares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Se desintegran las redes sociales informales y las asociaciones formales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Los sistemas tradicionales de autoridad y de administración pierden sus líderes</w:t>
            </w:r>
          </w:p>
        </w:tc>
        <w:tc>
          <w:tcPr>
            <w:tcW w:w="3134" w:type="dxa"/>
            <w:vMerge w:val="restart"/>
            <w:vAlign w:val="center"/>
          </w:tcPr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Debilitamiento de la cohesión social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Disminuye la capacidad de acción colectiva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Aumenta la tensión sicológica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Marginación</w:t>
            </w:r>
          </w:p>
        </w:tc>
      </w:tr>
      <w:tr w:rsidR="00BA3037" w:rsidRPr="00EE3480" w:rsidTr="009E082F">
        <w:tc>
          <w:tcPr>
            <w:tcW w:w="1219" w:type="dxa"/>
          </w:tcPr>
          <w:p w:rsidR="00BA3037" w:rsidRPr="00EE3480" w:rsidRDefault="00BA3037" w:rsidP="009E082F">
            <w:pPr>
              <w:jc w:val="center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Cultural</w:t>
            </w:r>
          </w:p>
        </w:tc>
        <w:tc>
          <w:tcPr>
            <w:tcW w:w="4361" w:type="dxa"/>
          </w:tcPr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Se abandonan espacios simbólicos como los santuarios, los cementerios ancestrales o las montañas, ríos o senderos sagrados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Se quiebra el vínculo físico y sicológico con el pasado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Se borran las raíces de la identidad cultural de la población</w:t>
            </w:r>
          </w:p>
        </w:tc>
        <w:tc>
          <w:tcPr>
            <w:tcW w:w="3134" w:type="dxa"/>
            <w:vMerge/>
          </w:tcPr>
          <w:p w:rsidR="00BA3037" w:rsidRPr="00EE3480" w:rsidRDefault="00BA3037" w:rsidP="009E082F">
            <w:pPr>
              <w:jc w:val="both"/>
              <w:rPr>
                <w:rFonts w:asciiTheme="majorBidi" w:hAnsiTheme="majorBidi" w:cstheme="majorBidi"/>
                <w:lang w:val="es-ES"/>
              </w:rPr>
            </w:pPr>
          </w:p>
        </w:tc>
      </w:tr>
      <w:tr w:rsidR="00BA3037" w:rsidRPr="00EE3480" w:rsidTr="009E082F">
        <w:tc>
          <w:tcPr>
            <w:tcW w:w="1219" w:type="dxa"/>
          </w:tcPr>
          <w:p w:rsidR="00BA3037" w:rsidRPr="00EE3480" w:rsidRDefault="00BA3037" w:rsidP="009E082F">
            <w:pPr>
              <w:jc w:val="center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Económico</w:t>
            </w:r>
          </w:p>
        </w:tc>
        <w:tc>
          <w:tcPr>
            <w:tcW w:w="4361" w:type="dxa"/>
          </w:tcPr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Se desmantelan los sistemas de producción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lastRenderedPageBreak/>
              <w:t>Se interrumpen los nexos comerciales entre productores y consumidores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Se desorganizan los mercados locales</w:t>
            </w:r>
          </w:p>
        </w:tc>
        <w:tc>
          <w:tcPr>
            <w:tcW w:w="3134" w:type="dxa"/>
            <w:vAlign w:val="center"/>
          </w:tcPr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lastRenderedPageBreak/>
              <w:t>Desempleo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Inseguridad alimentaria</w:t>
            </w:r>
          </w:p>
          <w:p w:rsidR="00BA3037" w:rsidRPr="00EE3480" w:rsidRDefault="00BA3037" w:rsidP="00BA3037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lastRenderedPageBreak/>
              <w:t>Empobrecimiento</w:t>
            </w:r>
          </w:p>
        </w:tc>
      </w:tr>
    </w:tbl>
    <w:p w:rsidR="000176F6" w:rsidRDefault="000176F6"/>
    <w:p w:rsidR="00983196" w:rsidRPr="00D80111" w:rsidRDefault="00983196" w:rsidP="00D80111">
      <w:pPr>
        <w:pStyle w:val="Descripcin"/>
        <w:rPr>
          <w:rFonts w:asciiTheme="majorBidi" w:hAnsiTheme="majorBidi" w:cstheme="majorBidi"/>
          <w:b w:val="0"/>
          <w:color w:val="000000" w:themeColor="text1"/>
          <w:sz w:val="24"/>
          <w:szCs w:val="24"/>
          <w:lang w:val="es-ES"/>
        </w:rPr>
      </w:pPr>
      <w:r w:rsidRPr="00D80111">
        <w:rPr>
          <w:rFonts w:asciiTheme="majorBidi" w:hAnsiTheme="majorBidi" w:cstheme="majorBidi"/>
          <w:b w:val="0"/>
          <w:color w:val="000000" w:themeColor="text1"/>
          <w:sz w:val="24"/>
          <w:szCs w:val="24"/>
        </w:rPr>
        <w:t xml:space="preserve">TABLA </w:t>
      </w:r>
      <w:r w:rsidRPr="00D80111">
        <w:rPr>
          <w:rFonts w:asciiTheme="majorBidi" w:hAnsiTheme="majorBidi" w:cstheme="majorBidi"/>
          <w:b w:val="0"/>
          <w:color w:val="000000" w:themeColor="text1"/>
          <w:sz w:val="24"/>
          <w:szCs w:val="24"/>
        </w:rPr>
        <w:fldChar w:fldCharType="begin"/>
      </w:r>
      <w:r w:rsidRPr="00D80111">
        <w:rPr>
          <w:rFonts w:asciiTheme="majorBidi" w:hAnsiTheme="majorBidi" w:cstheme="majorBidi"/>
          <w:b w:val="0"/>
          <w:color w:val="000000" w:themeColor="text1"/>
          <w:sz w:val="24"/>
          <w:szCs w:val="24"/>
        </w:rPr>
        <w:instrText xml:space="preserve"> SEQ Tabla \* ARABIC </w:instrText>
      </w:r>
      <w:r w:rsidRPr="00D80111">
        <w:rPr>
          <w:rFonts w:asciiTheme="majorBidi" w:hAnsiTheme="majorBidi" w:cstheme="majorBidi"/>
          <w:b w:val="0"/>
          <w:color w:val="000000" w:themeColor="text1"/>
          <w:sz w:val="24"/>
          <w:szCs w:val="24"/>
        </w:rPr>
        <w:fldChar w:fldCharType="separate"/>
      </w:r>
      <w:r w:rsidRPr="00D80111">
        <w:rPr>
          <w:rFonts w:asciiTheme="majorBidi" w:hAnsiTheme="majorBidi" w:cstheme="majorBidi"/>
          <w:b w:val="0"/>
          <w:noProof/>
          <w:color w:val="000000" w:themeColor="text1"/>
          <w:sz w:val="24"/>
          <w:szCs w:val="24"/>
        </w:rPr>
        <w:t>3</w:t>
      </w:r>
      <w:r w:rsidRPr="00D80111">
        <w:rPr>
          <w:rFonts w:asciiTheme="majorBidi" w:hAnsiTheme="majorBidi" w:cstheme="majorBidi"/>
          <w:b w:val="0"/>
          <w:color w:val="000000" w:themeColor="text1"/>
          <w:sz w:val="24"/>
          <w:szCs w:val="24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0"/>
        <w:gridCol w:w="4361"/>
        <w:gridCol w:w="3134"/>
      </w:tblGrid>
      <w:tr w:rsidR="00983196" w:rsidRPr="00EE3480" w:rsidTr="009E082F">
        <w:tc>
          <w:tcPr>
            <w:tcW w:w="1219" w:type="dxa"/>
          </w:tcPr>
          <w:p w:rsidR="00983196" w:rsidRPr="00EE3480" w:rsidRDefault="00983196" w:rsidP="009E082F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lang w:val="es-ES"/>
              </w:rPr>
            </w:pPr>
            <w:r w:rsidRPr="00EE3480">
              <w:rPr>
                <w:rFonts w:asciiTheme="majorBidi" w:hAnsiTheme="majorBidi" w:cstheme="majorBidi"/>
                <w:b/>
                <w:lang w:val="es-ES"/>
              </w:rPr>
              <w:t>Dimensión</w:t>
            </w:r>
          </w:p>
        </w:tc>
        <w:tc>
          <w:tcPr>
            <w:tcW w:w="4361" w:type="dxa"/>
          </w:tcPr>
          <w:p w:rsidR="00983196" w:rsidRPr="00EE3480" w:rsidRDefault="00983196" w:rsidP="009E082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lang w:val="es-ES"/>
              </w:rPr>
            </w:pPr>
            <w:r w:rsidRPr="00EE3480">
              <w:rPr>
                <w:rFonts w:asciiTheme="majorBidi" w:hAnsiTheme="majorBidi" w:cstheme="majorBidi"/>
                <w:b/>
                <w:lang w:val="es-ES"/>
              </w:rPr>
              <w:t>Impactos/afectaciones</w:t>
            </w:r>
          </w:p>
        </w:tc>
        <w:tc>
          <w:tcPr>
            <w:tcW w:w="3134" w:type="dxa"/>
          </w:tcPr>
          <w:p w:rsidR="00983196" w:rsidRPr="00EE3480" w:rsidRDefault="00983196" w:rsidP="009E082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lang w:val="es-ES"/>
              </w:rPr>
            </w:pPr>
            <w:r w:rsidRPr="00EE3480">
              <w:rPr>
                <w:rFonts w:asciiTheme="majorBidi" w:hAnsiTheme="majorBidi" w:cstheme="majorBidi"/>
                <w:b/>
                <w:lang w:val="es-ES"/>
              </w:rPr>
              <w:t>Consecuencias</w:t>
            </w:r>
          </w:p>
        </w:tc>
      </w:tr>
      <w:tr w:rsidR="00983196" w:rsidRPr="00EE3480" w:rsidTr="009E082F">
        <w:tc>
          <w:tcPr>
            <w:tcW w:w="1219" w:type="dxa"/>
          </w:tcPr>
          <w:p w:rsidR="00983196" w:rsidRPr="00EE3480" w:rsidRDefault="00983196" w:rsidP="00983196">
            <w:pPr>
              <w:jc w:val="center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Social</w:t>
            </w:r>
          </w:p>
        </w:tc>
        <w:tc>
          <w:tcPr>
            <w:tcW w:w="4361" w:type="dxa"/>
          </w:tcPr>
          <w:p w:rsidR="00983196" w:rsidRPr="00EE3480" w:rsidRDefault="00983196" w:rsidP="00983196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Se dispersan los grupos de paren</w:t>
            </w:r>
            <w:r w:rsidR="00E87DAB">
              <w:rPr>
                <w:rFonts w:asciiTheme="majorBidi" w:hAnsiTheme="majorBidi" w:cstheme="majorBidi"/>
                <w:color w:val="000000" w:themeColor="text1"/>
                <w:lang w:val="es-ES"/>
              </w:rPr>
              <w:t>tesco y los sistemas familiares, debido a la migración para encontrar otras fuentes de empleo.</w:t>
            </w:r>
          </w:p>
          <w:p w:rsidR="00983196" w:rsidRPr="00EE3480" w:rsidRDefault="00983196" w:rsidP="00E87DAB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Se desintegran las redes sociales informa</w:t>
            </w:r>
            <w:r w:rsidR="00E87DAB">
              <w:rPr>
                <w:rFonts w:asciiTheme="majorBidi" w:hAnsiTheme="majorBidi" w:cstheme="majorBidi"/>
                <w:color w:val="000000" w:themeColor="text1"/>
                <w:lang w:val="es-ES"/>
              </w:rPr>
              <w:t>les y las asociaciones formales, como la convivencia que había entre los pescadores con las familias de la comunidad y vecinos.</w:t>
            </w:r>
          </w:p>
        </w:tc>
        <w:tc>
          <w:tcPr>
            <w:tcW w:w="3134" w:type="dxa"/>
            <w:vMerge w:val="restart"/>
            <w:vAlign w:val="center"/>
          </w:tcPr>
          <w:p w:rsidR="00983196" w:rsidRPr="00EE3480" w:rsidRDefault="00983196" w:rsidP="00983196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 xml:space="preserve">Debilitamiento de la cohesión social: </w:t>
            </w:r>
            <w:proofErr w:type="spellStart"/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Intra</w:t>
            </w:r>
            <w:proofErr w:type="spellEnd"/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 xml:space="preserve"> e inter familiar</w:t>
            </w:r>
          </w:p>
          <w:p w:rsidR="00983196" w:rsidRPr="00EE3480" w:rsidRDefault="00983196" w:rsidP="00983196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Aumenta la tensión sicológica: Incertidumbre, desconfianza</w:t>
            </w:r>
          </w:p>
        </w:tc>
      </w:tr>
      <w:tr w:rsidR="00983196" w:rsidRPr="00EE3480" w:rsidTr="009E082F">
        <w:tc>
          <w:tcPr>
            <w:tcW w:w="1219" w:type="dxa"/>
          </w:tcPr>
          <w:p w:rsidR="00983196" w:rsidRPr="00EE3480" w:rsidRDefault="00983196" w:rsidP="00983196">
            <w:pPr>
              <w:jc w:val="center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Cultural</w:t>
            </w:r>
          </w:p>
        </w:tc>
        <w:tc>
          <w:tcPr>
            <w:tcW w:w="4361" w:type="dxa"/>
          </w:tcPr>
          <w:p w:rsidR="00983196" w:rsidRPr="00EE3480" w:rsidRDefault="00983196" w:rsidP="00983196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S</w:t>
            </w:r>
            <w:r w:rsidR="00E87DAB">
              <w:rPr>
                <w:rFonts w:asciiTheme="majorBidi" w:hAnsiTheme="majorBidi" w:cstheme="majorBidi"/>
                <w:color w:val="000000" w:themeColor="text1"/>
                <w:lang w:val="es-ES"/>
              </w:rPr>
              <w:t>e abandonan espacios simbólicos,</w:t>
            </w: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 xml:space="preserve"> al dejar de frecuentar el mar y no sentirse con la libertad de ir a la playa </w:t>
            </w:r>
          </w:p>
          <w:p w:rsidR="00983196" w:rsidRPr="00EE3480" w:rsidRDefault="00983196" w:rsidP="00983196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Se quiebra el vínculo físico y sicológico con el pasado</w:t>
            </w:r>
          </w:p>
          <w:p w:rsidR="00983196" w:rsidRPr="00EE3480" w:rsidRDefault="00983196" w:rsidP="00E87DAB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Se borran las raíces de la ide</w:t>
            </w:r>
            <w:r w:rsidR="00E87DAB">
              <w:rPr>
                <w:rFonts w:asciiTheme="majorBidi" w:hAnsiTheme="majorBidi" w:cstheme="majorBidi"/>
                <w:color w:val="000000" w:themeColor="text1"/>
                <w:lang w:val="es-ES"/>
              </w:rPr>
              <w:t>ntidad cultural de la población, esto</w:t>
            </w: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 xml:space="preserve"> pasar</w:t>
            </w:r>
            <w:r w:rsidR="00E87DAB">
              <w:rPr>
                <w:rFonts w:asciiTheme="majorBidi" w:hAnsiTheme="majorBidi" w:cstheme="majorBidi"/>
                <w:color w:val="000000" w:themeColor="text1"/>
                <w:lang w:val="es-ES"/>
              </w:rPr>
              <w:t>á eventualmente cuando los pescadores comiencen a realizar otros oficios.</w:t>
            </w:r>
          </w:p>
        </w:tc>
        <w:tc>
          <w:tcPr>
            <w:tcW w:w="3134" w:type="dxa"/>
            <w:vMerge/>
          </w:tcPr>
          <w:p w:rsidR="00983196" w:rsidRPr="00EE3480" w:rsidRDefault="00983196" w:rsidP="00983196">
            <w:pPr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</w:p>
        </w:tc>
      </w:tr>
      <w:tr w:rsidR="00983196" w:rsidRPr="00EE3480" w:rsidTr="009E082F">
        <w:tc>
          <w:tcPr>
            <w:tcW w:w="1219" w:type="dxa"/>
          </w:tcPr>
          <w:p w:rsidR="00983196" w:rsidRPr="00EE3480" w:rsidRDefault="00983196" w:rsidP="00983196">
            <w:pPr>
              <w:jc w:val="center"/>
              <w:rPr>
                <w:rFonts w:asciiTheme="majorBidi" w:hAnsiTheme="majorBidi" w:cstheme="majorBidi"/>
                <w:lang w:val="es-ES"/>
              </w:rPr>
            </w:pPr>
            <w:r w:rsidRPr="00EE3480">
              <w:rPr>
                <w:rFonts w:asciiTheme="majorBidi" w:hAnsiTheme="majorBidi" w:cstheme="majorBidi"/>
                <w:lang w:val="es-ES"/>
              </w:rPr>
              <w:t>Económico</w:t>
            </w:r>
          </w:p>
        </w:tc>
        <w:tc>
          <w:tcPr>
            <w:tcW w:w="4361" w:type="dxa"/>
          </w:tcPr>
          <w:p w:rsidR="00983196" w:rsidRPr="00EE3480" w:rsidRDefault="00983196" w:rsidP="00983196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Se desmantelan los sistemas de producción</w:t>
            </w:r>
          </w:p>
          <w:p w:rsidR="00983196" w:rsidRPr="00EE3480" w:rsidRDefault="00983196" w:rsidP="00983196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Se interrumpen los nexos comerciales entre productores y consumidores</w:t>
            </w:r>
          </w:p>
          <w:p w:rsidR="00983196" w:rsidRPr="00EE3480" w:rsidRDefault="00983196" w:rsidP="00983196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Se desorganiza la forma de comercio local</w:t>
            </w:r>
          </w:p>
        </w:tc>
        <w:tc>
          <w:tcPr>
            <w:tcW w:w="3134" w:type="dxa"/>
          </w:tcPr>
          <w:p w:rsidR="00983196" w:rsidRPr="00EE3480" w:rsidRDefault="00983196" w:rsidP="00E87DAB">
            <w:pPr>
              <w:pStyle w:val="Prrafodelista"/>
              <w:numPr>
                <w:ilvl w:val="0"/>
                <w:numId w:val="1"/>
              </w:numPr>
              <w:ind w:left="414" w:hanging="357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Disminuyen sus estrategias de subsistencia</w:t>
            </w:r>
          </w:p>
          <w:p w:rsidR="00983196" w:rsidRPr="00EE3480" w:rsidRDefault="00983196" w:rsidP="00983196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Inseguridad alimentaria</w:t>
            </w:r>
          </w:p>
          <w:p w:rsidR="00983196" w:rsidRPr="00EE3480" w:rsidRDefault="00983196" w:rsidP="00983196">
            <w:pPr>
              <w:pStyle w:val="Prrafodelista"/>
              <w:numPr>
                <w:ilvl w:val="0"/>
                <w:numId w:val="1"/>
              </w:numPr>
              <w:ind w:left="414" w:hanging="357"/>
              <w:jc w:val="both"/>
              <w:rPr>
                <w:rFonts w:asciiTheme="majorBidi" w:hAnsiTheme="majorBidi" w:cstheme="majorBidi"/>
                <w:color w:val="000000" w:themeColor="text1"/>
                <w:lang w:val="es-ES"/>
              </w:rPr>
            </w:pPr>
            <w:r w:rsidRPr="00EE3480">
              <w:rPr>
                <w:rFonts w:asciiTheme="majorBidi" w:hAnsiTheme="majorBidi" w:cstheme="majorBidi"/>
                <w:color w:val="000000" w:themeColor="text1"/>
                <w:lang w:val="es-ES"/>
              </w:rPr>
              <w:t>Empobrecimiento</w:t>
            </w:r>
          </w:p>
        </w:tc>
      </w:tr>
    </w:tbl>
    <w:p w:rsidR="00983196" w:rsidRPr="00EE3480" w:rsidRDefault="00983196" w:rsidP="00983196">
      <w:pPr>
        <w:spacing w:line="480" w:lineRule="auto"/>
        <w:jc w:val="both"/>
        <w:rPr>
          <w:rFonts w:asciiTheme="majorBidi" w:hAnsiTheme="majorBidi" w:cstheme="majorBidi"/>
          <w:lang w:val="es-ES"/>
        </w:rPr>
      </w:pPr>
    </w:p>
    <w:p w:rsidR="00983196" w:rsidRDefault="00983196"/>
    <w:sectPr w:rsidR="009831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44" w:rsidRDefault="005D3044" w:rsidP="00A84CA1">
      <w:pPr>
        <w:spacing w:after="0" w:line="240" w:lineRule="auto"/>
      </w:pPr>
      <w:r>
        <w:separator/>
      </w:r>
    </w:p>
  </w:endnote>
  <w:endnote w:type="continuationSeparator" w:id="0">
    <w:p w:rsidR="005D3044" w:rsidRDefault="005D3044" w:rsidP="00A8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44" w:rsidRDefault="005D3044" w:rsidP="00A84CA1">
      <w:pPr>
        <w:spacing w:after="0" w:line="240" w:lineRule="auto"/>
      </w:pPr>
      <w:r>
        <w:separator/>
      </w:r>
    </w:p>
  </w:footnote>
  <w:footnote w:type="continuationSeparator" w:id="0">
    <w:p w:rsidR="005D3044" w:rsidRDefault="005D3044" w:rsidP="00A84CA1">
      <w:pPr>
        <w:spacing w:after="0" w:line="240" w:lineRule="auto"/>
      </w:pPr>
      <w:r>
        <w:continuationSeparator/>
      </w:r>
    </w:p>
  </w:footnote>
  <w:footnote w:id="1">
    <w:p w:rsidR="00A84CA1" w:rsidRPr="00F3065B" w:rsidRDefault="00A84CA1" w:rsidP="00A84CA1">
      <w:pPr>
        <w:pStyle w:val="Textonotapie"/>
        <w:rPr>
          <w:rFonts w:ascii="Times New Roman" w:hAnsi="Times New Roman" w:cs="Times New Roman"/>
          <w:sz w:val="20"/>
          <w:szCs w:val="20"/>
        </w:rPr>
      </w:pPr>
      <w:r w:rsidRPr="00F3065B">
        <w:rPr>
          <w:rStyle w:val="Refdenotaalpie"/>
          <w:rFonts w:ascii="Times New Roman" w:hAnsi="Times New Roman" w:cs="Times New Roman"/>
          <w:sz w:val="20"/>
          <w:szCs w:val="20"/>
        </w:rPr>
        <w:footnoteRef/>
      </w:r>
      <w:r w:rsidRPr="00F3065B">
        <w:rPr>
          <w:rFonts w:ascii="Times New Roman" w:hAnsi="Times New Roman" w:cs="Times New Roman"/>
          <w:sz w:val="20"/>
          <w:szCs w:val="20"/>
        </w:rPr>
        <w:t xml:space="preserve"> El </w:t>
      </w:r>
      <w:r w:rsidRPr="00F3065B">
        <w:rPr>
          <w:rFonts w:ascii="Times New Roman" w:hAnsi="Times New Roman" w:cs="Times New Roman"/>
          <w:i/>
          <w:sz w:val="20"/>
          <w:szCs w:val="20"/>
        </w:rPr>
        <w:t>desplazamiento forzado</w:t>
      </w:r>
      <w:r w:rsidRPr="00F3065B">
        <w:rPr>
          <w:rFonts w:ascii="Times New Roman" w:hAnsi="Times New Roman" w:cs="Times New Roman"/>
          <w:sz w:val="20"/>
          <w:szCs w:val="20"/>
        </w:rPr>
        <w:t xml:space="preserve"> sucede después de la ocurrencia de una acción violenta, que pone en riesgo la vida de la comunidad o alguno de sus miembros (Ibíd.).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93A40"/>
    <w:multiLevelType w:val="hybridMultilevel"/>
    <w:tmpl w:val="CF8E3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F6"/>
    <w:rsid w:val="000176F6"/>
    <w:rsid w:val="001B3A3D"/>
    <w:rsid w:val="0031285A"/>
    <w:rsid w:val="003C05AD"/>
    <w:rsid w:val="00427172"/>
    <w:rsid w:val="005D3044"/>
    <w:rsid w:val="00760A1D"/>
    <w:rsid w:val="007669C7"/>
    <w:rsid w:val="00922BD4"/>
    <w:rsid w:val="00983196"/>
    <w:rsid w:val="00A13A10"/>
    <w:rsid w:val="00A13DB5"/>
    <w:rsid w:val="00A84CA1"/>
    <w:rsid w:val="00BA3037"/>
    <w:rsid w:val="00D80111"/>
    <w:rsid w:val="00D85722"/>
    <w:rsid w:val="00E87DAB"/>
    <w:rsid w:val="00E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CA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84CA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84CA1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A84CA1"/>
    <w:rPr>
      <w:vertAlign w:val="superscript"/>
    </w:rPr>
  </w:style>
  <w:style w:type="paragraph" w:styleId="Prrafodelista">
    <w:name w:val="List Paragraph"/>
    <w:basedOn w:val="Normal"/>
    <w:uiPriority w:val="34"/>
    <w:qFormat/>
    <w:rsid w:val="00BA3037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983196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2018-05-25T00:44:00Z</dcterms:created>
  <dcterms:modified xsi:type="dcterms:W3CDTF">2018-05-25T00:44:00Z</dcterms:modified>
</cp:coreProperties>
</file>